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4C" w:rsidRDefault="008C694C" w:rsidP="008C694C">
      <w:pPr>
        <w:jc w:val="center"/>
      </w:pPr>
      <w:bookmarkStart w:id="0" w:name="_GoBack"/>
      <w:bookmarkEnd w:id="0"/>
      <w:r>
        <w:t>BILL NO. 35- 2017</w:t>
      </w:r>
    </w:p>
    <w:p w:rsidR="00326110" w:rsidRDefault="00326110">
      <w:pPr>
        <w:jc w:val="center"/>
        <w:rPr>
          <w:sz w:val="22"/>
        </w:rPr>
      </w:pPr>
    </w:p>
    <w:p w:rsidR="00326110" w:rsidRDefault="00326110">
      <w:pPr>
        <w:jc w:val="center"/>
        <w:rPr>
          <w:sz w:val="22"/>
          <w:u w:val="single"/>
        </w:rPr>
      </w:pPr>
      <w:proofErr w:type="gramStart"/>
      <w:r>
        <w:rPr>
          <w:sz w:val="22"/>
        </w:rPr>
        <w:t>ORDINANCE NO.</w:t>
      </w:r>
      <w:proofErr w:type="gramEnd"/>
      <w:r>
        <w:rPr>
          <w:sz w:val="22"/>
        </w:rPr>
        <w:t xml:space="preserve"> </w:t>
      </w:r>
      <w:r>
        <w:rPr>
          <w:sz w:val="22"/>
          <w:u w:val="single"/>
        </w:rPr>
        <w:tab/>
      </w:r>
      <w:r>
        <w:rPr>
          <w:sz w:val="22"/>
          <w:u w:val="single"/>
        </w:rPr>
        <w:tab/>
      </w:r>
    </w:p>
    <w:p w:rsidR="00326110" w:rsidRDefault="00326110">
      <w:pPr>
        <w:jc w:val="center"/>
        <w:rPr>
          <w:sz w:val="22"/>
          <w:u w:val="single"/>
        </w:rPr>
      </w:pPr>
    </w:p>
    <w:p w:rsidR="007339A9" w:rsidRPr="007339A9" w:rsidRDefault="007339A9" w:rsidP="007339A9">
      <w:pPr>
        <w:jc w:val="center"/>
      </w:pPr>
      <w:r w:rsidRPr="007339A9">
        <w:t>AN ORDINANCE OF THE CITY OF BETHLEHEM,</w:t>
      </w:r>
    </w:p>
    <w:p w:rsidR="007339A9" w:rsidRPr="007339A9" w:rsidRDefault="007339A9" w:rsidP="007339A9">
      <w:pPr>
        <w:jc w:val="center"/>
      </w:pPr>
      <w:r w:rsidRPr="007339A9">
        <w:t>COUNTIES OF LEHIGH AND NORTHAMPTON,</w:t>
      </w:r>
    </w:p>
    <w:p w:rsidR="007339A9" w:rsidRPr="007339A9" w:rsidRDefault="007339A9" w:rsidP="007339A9">
      <w:pPr>
        <w:jc w:val="center"/>
      </w:pPr>
      <w:r w:rsidRPr="007339A9">
        <w:t>COMMONWEALTH OF PENNSYLVANIA, AMENDING</w:t>
      </w:r>
    </w:p>
    <w:p w:rsidR="007339A9" w:rsidRPr="007339A9" w:rsidRDefault="007339A9" w:rsidP="007339A9">
      <w:pPr>
        <w:jc w:val="center"/>
      </w:pPr>
      <w:r w:rsidRPr="007339A9">
        <w:t>ARTICLE 17</w:t>
      </w:r>
      <w:r>
        <w:t>33</w:t>
      </w:r>
      <w:r w:rsidRPr="007339A9">
        <w:t xml:space="preserve"> OF THE CODIFIED ORDINANCES OF</w:t>
      </w:r>
    </w:p>
    <w:p w:rsidR="007339A9" w:rsidRPr="007339A9" w:rsidRDefault="007339A9" w:rsidP="007339A9">
      <w:pPr>
        <w:jc w:val="center"/>
      </w:pPr>
      <w:r w:rsidRPr="007339A9">
        <w:t>THE CITY OF BETHLEHEM TITLED</w:t>
      </w:r>
    </w:p>
    <w:p w:rsidR="007339A9" w:rsidRPr="007339A9" w:rsidRDefault="00862903" w:rsidP="007339A9">
      <w:pPr>
        <w:jc w:val="center"/>
        <w:rPr>
          <w:bCs/>
        </w:rPr>
      </w:pPr>
      <w:r>
        <w:t>“</w:t>
      </w:r>
      <w:r w:rsidR="007339A9">
        <w:t>INTERNATIONAL PROPERTY MAINTENANCE CODE</w:t>
      </w:r>
      <w:r>
        <w:t>”</w:t>
      </w:r>
    </w:p>
    <w:p w:rsidR="007339A9" w:rsidRDefault="007339A9">
      <w:pPr>
        <w:jc w:val="center"/>
        <w:rPr>
          <w:sz w:val="22"/>
          <w:u w:val="single"/>
        </w:rPr>
      </w:pPr>
    </w:p>
    <w:p w:rsidR="00912EF9" w:rsidRDefault="00912EF9">
      <w:pPr>
        <w:ind w:left="720"/>
        <w:rPr>
          <w:sz w:val="22"/>
        </w:rPr>
      </w:pPr>
    </w:p>
    <w:p w:rsidR="00326110" w:rsidRPr="00612D99" w:rsidRDefault="00326110" w:rsidP="00F26EEF">
      <w:pPr>
        <w:jc w:val="both"/>
      </w:pPr>
      <w:r w:rsidRPr="00612D99">
        <w:t xml:space="preserve">THE COUNCIL OF THE CITY OF BETHLEHEM HEREBY ORDAINS AS </w:t>
      </w:r>
      <w:r w:rsidR="00032D85">
        <w:t>F</w:t>
      </w:r>
      <w:r w:rsidRPr="00612D99">
        <w:t>OLLOWS:</w:t>
      </w:r>
    </w:p>
    <w:p w:rsidR="00326110" w:rsidRPr="00612D99" w:rsidRDefault="00326110" w:rsidP="00F26EEF">
      <w:pPr>
        <w:jc w:val="both"/>
      </w:pPr>
    </w:p>
    <w:p w:rsidR="00862903" w:rsidRPr="009675D0" w:rsidRDefault="00862903" w:rsidP="00F26EEF">
      <w:pPr>
        <w:pStyle w:val="NormalWeb"/>
        <w:shd w:val="clear" w:color="auto" w:fill="FFFFFF"/>
        <w:spacing w:before="0" w:beforeAutospacing="0" w:after="0" w:afterAutospacing="0"/>
        <w:contextualSpacing/>
        <w:jc w:val="both"/>
        <w:rPr>
          <w:bCs/>
        </w:rPr>
      </w:pPr>
      <w:proofErr w:type="gramStart"/>
      <w:r w:rsidRPr="00862903">
        <w:rPr>
          <w:bCs/>
        </w:rPr>
        <w:t>S</w:t>
      </w:r>
      <w:r>
        <w:rPr>
          <w:bCs/>
        </w:rPr>
        <w:t xml:space="preserve">ECTION </w:t>
      </w:r>
      <w:r w:rsidRPr="00862903">
        <w:rPr>
          <w:bCs/>
        </w:rPr>
        <w:t>1.</w:t>
      </w:r>
      <w:proofErr w:type="gramEnd"/>
      <w:r w:rsidRPr="009675D0">
        <w:rPr>
          <w:b/>
          <w:bCs/>
        </w:rPr>
        <w:t xml:space="preserve">  </w:t>
      </w:r>
      <w:r w:rsidRPr="009675D0">
        <w:rPr>
          <w:bCs/>
        </w:rPr>
        <w:t xml:space="preserve">That Article 1733 of the Codified Ordinances of the City of Bethlehem, titled “International Property Maintenance Code”, </w:t>
      </w:r>
      <w:r w:rsidR="009E0CF2">
        <w:rPr>
          <w:bCs/>
        </w:rPr>
        <w:t xml:space="preserve">the caption for </w:t>
      </w:r>
      <w:r w:rsidRPr="009675D0">
        <w:rPr>
          <w:bCs/>
        </w:rPr>
        <w:t>Section 1733.01 titled “Additions, Deletions, and Modifications”, which reads as follows:</w:t>
      </w:r>
    </w:p>
    <w:p w:rsidR="00862903" w:rsidRPr="009675D0" w:rsidRDefault="00862903" w:rsidP="00F26EEF">
      <w:pPr>
        <w:shd w:val="clear" w:color="auto" w:fill="FFFFFF"/>
        <w:contextualSpacing/>
        <w:jc w:val="both"/>
        <w:rPr>
          <w:bCs/>
        </w:rPr>
      </w:pPr>
    </w:p>
    <w:p w:rsidR="00862903" w:rsidRPr="009675D0" w:rsidRDefault="00862903" w:rsidP="00F26EEF">
      <w:pPr>
        <w:shd w:val="clear" w:color="auto" w:fill="FFFFFF"/>
        <w:ind w:firstLine="720"/>
        <w:contextualSpacing/>
        <w:jc w:val="both"/>
        <w:rPr>
          <w:bCs/>
        </w:rPr>
      </w:pPr>
      <w:r w:rsidRPr="009675D0">
        <w:rPr>
          <w:bCs/>
          <w:strike/>
        </w:rPr>
        <w:t>1733.01.</w:t>
      </w:r>
      <w:r w:rsidRPr="009675D0">
        <w:rPr>
          <w:bCs/>
        </w:rPr>
        <w:tab/>
        <w:t>ADDITIONS, DELETIONS, AND MODIFICATIONS.</w:t>
      </w:r>
    </w:p>
    <w:p w:rsidR="00862903" w:rsidRPr="009675D0" w:rsidRDefault="00862903" w:rsidP="00F26EEF">
      <w:pPr>
        <w:shd w:val="clear" w:color="auto" w:fill="FFFFFF"/>
        <w:contextualSpacing/>
        <w:jc w:val="both"/>
        <w:rPr>
          <w:bCs/>
        </w:rPr>
      </w:pPr>
    </w:p>
    <w:p w:rsidR="00862903" w:rsidRPr="009675D0" w:rsidRDefault="00862903" w:rsidP="00F26EEF">
      <w:pPr>
        <w:shd w:val="clear" w:color="auto" w:fill="FFFFFF"/>
        <w:contextualSpacing/>
        <w:jc w:val="both"/>
        <w:rPr>
          <w:bCs/>
        </w:rPr>
      </w:pPr>
      <w:r w:rsidRPr="009675D0">
        <w:rPr>
          <w:bCs/>
        </w:rPr>
        <w:t xml:space="preserve">Shall be amended </w:t>
      </w:r>
      <w:r w:rsidR="009E0CF2">
        <w:rPr>
          <w:bCs/>
        </w:rPr>
        <w:t xml:space="preserve">and renumbered </w:t>
      </w:r>
      <w:r w:rsidRPr="009675D0">
        <w:rPr>
          <w:bCs/>
        </w:rPr>
        <w:t>to read as follows:</w:t>
      </w:r>
    </w:p>
    <w:p w:rsidR="00862903" w:rsidRPr="009675D0" w:rsidRDefault="00862903" w:rsidP="00F26EEF">
      <w:pPr>
        <w:shd w:val="clear" w:color="auto" w:fill="FFFFFF"/>
        <w:contextualSpacing/>
        <w:jc w:val="both"/>
        <w:rPr>
          <w:bCs/>
        </w:rPr>
      </w:pPr>
    </w:p>
    <w:p w:rsidR="00862903" w:rsidRDefault="00862903" w:rsidP="00F26EEF">
      <w:pPr>
        <w:ind w:firstLine="720"/>
        <w:jc w:val="both"/>
      </w:pPr>
      <w:r w:rsidRPr="009675D0">
        <w:rPr>
          <w:b/>
          <w:bCs/>
          <w:u w:val="single"/>
        </w:rPr>
        <w:t>1733.02.</w:t>
      </w:r>
      <w:r w:rsidRPr="009675D0">
        <w:rPr>
          <w:bCs/>
        </w:rPr>
        <w:tab/>
        <w:t>ADDITIONS, DELETIONS, AND MODIFICATIONS</w:t>
      </w:r>
    </w:p>
    <w:p w:rsidR="00862903" w:rsidRDefault="00862903" w:rsidP="00F26EEF">
      <w:pPr>
        <w:jc w:val="both"/>
      </w:pPr>
    </w:p>
    <w:p w:rsidR="006C4578" w:rsidRDefault="006C4578" w:rsidP="00F26EEF">
      <w:pPr>
        <w:jc w:val="both"/>
      </w:pPr>
    </w:p>
    <w:p w:rsidR="000D770D" w:rsidRDefault="000D770D" w:rsidP="00F26EEF">
      <w:pPr>
        <w:jc w:val="both"/>
      </w:pPr>
      <w:proofErr w:type="gramStart"/>
      <w:r>
        <w:t>SECTION 2.</w:t>
      </w:r>
      <w:proofErr w:type="gramEnd"/>
      <w:r>
        <w:t xml:space="preserve">  That the following sections and sub-sections of the 2009 ICC International Property Maintenance Code previously deleted by Ordinance 4340 and/or Ordinance 2010-27 </w:t>
      </w:r>
      <w:r w:rsidR="004A2BCD">
        <w:t xml:space="preserve">are hereby reinstated and reincorporated into </w:t>
      </w:r>
      <w:r>
        <w:t>Article 1733 of the Codified Ordinances of the City of Bethlehem, titled “International Property Maintenance Code”:</w:t>
      </w:r>
    </w:p>
    <w:p w:rsidR="000D770D" w:rsidRDefault="000D770D" w:rsidP="00F26EEF">
      <w:pPr>
        <w:jc w:val="both"/>
      </w:pPr>
    </w:p>
    <w:p w:rsidR="000D770D" w:rsidRDefault="000D770D" w:rsidP="00F26EEF">
      <w:pPr>
        <w:ind w:left="720"/>
        <w:jc w:val="both"/>
      </w:pPr>
      <w:r>
        <w:t>Chapter 1 – ADMINISTRATION</w:t>
      </w:r>
    </w:p>
    <w:p w:rsidR="000D770D" w:rsidRDefault="000D770D" w:rsidP="00F26EEF">
      <w:pPr>
        <w:ind w:left="720"/>
        <w:jc w:val="both"/>
      </w:pPr>
      <w:r>
        <w:t>Section 108 – Unsafe structures and equipment</w:t>
      </w:r>
    </w:p>
    <w:p w:rsidR="000D770D" w:rsidRDefault="000D770D" w:rsidP="00F26EEF">
      <w:pPr>
        <w:ind w:left="720"/>
        <w:jc w:val="both"/>
      </w:pPr>
      <w:r>
        <w:t xml:space="preserve">Sub-section 108.1.5(4) </w:t>
      </w:r>
    </w:p>
    <w:p w:rsidR="000D770D" w:rsidRDefault="000D770D" w:rsidP="00F26EEF">
      <w:pPr>
        <w:ind w:left="720"/>
        <w:jc w:val="both"/>
      </w:pPr>
      <w:r>
        <w:t>Sub-section 108.6 – Abatement Methods</w:t>
      </w:r>
    </w:p>
    <w:p w:rsidR="000D770D" w:rsidRDefault="000D770D" w:rsidP="00F26EEF">
      <w:pPr>
        <w:ind w:left="720"/>
        <w:jc w:val="both"/>
      </w:pPr>
      <w:r>
        <w:t>Section 110 – Demolition</w:t>
      </w:r>
    </w:p>
    <w:p w:rsidR="000D770D" w:rsidRDefault="000D770D" w:rsidP="00F26EEF">
      <w:pPr>
        <w:ind w:left="720"/>
        <w:jc w:val="both"/>
      </w:pPr>
      <w:r>
        <w:t>Sub-section 110.1 - General</w:t>
      </w:r>
    </w:p>
    <w:p w:rsidR="000D770D" w:rsidRDefault="000D770D" w:rsidP="00F26EEF">
      <w:pPr>
        <w:ind w:left="720"/>
        <w:jc w:val="both"/>
      </w:pPr>
    </w:p>
    <w:p w:rsidR="000D770D" w:rsidRDefault="000D770D" w:rsidP="00F26EEF">
      <w:pPr>
        <w:ind w:left="720"/>
        <w:jc w:val="both"/>
      </w:pPr>
      <w:r>
        <w:t>Chapter 3 – GENERAL REQUIREMENTS</w:t>
      </w:r>
    </w:p>
    <w:p w:rsidR="000D770D" w:rsidRDefault="000D770D" w:rsidP="00F26EEF">
      <w:pPr>
        <w:ind w:left="720"/>
        <w:jc w:val="both"/>
      </w:pPr>
      <w:r>
        <w:t>Section 304 – Exterior structure</w:t>
      </w:r>
    </w:p>
    <w:p w:rsidR="000D770D" w:rsidRDefault="000D770D" w:rsidP="00F26EEF">
      <w:pPr>
        <w:ind w:left="720"/>
        <w:jc w:val="both"/>
      </w:pPr>
      <w:r>
        <w:t>Sub-section 304.1.1 – Unsafe Conditions</w:t>
      </w:r>
    </w:p>
    <w:p w:rsidR="000D770D" w:rsidRDefault="000D770D" w:rsidP="00F26EEF">
      <w:pPr>
        <w:ind w:left="720"/>
        <w:jc w:val="both"/>
      </w:pPr>
      <w:r>
        <w:t>Sub-sections 304.1.1(1), (2), (3), (6), (7), (10)</w:t>
      </w:r>
    </w:p>
    <w:p w:rsidR="000D770D" w:rsidRDefault="000D770D" w:rsidP="00F26EEF">
      <w:pPr>
        <w:ind w:left="720"/>
        <w:jc w:val="both"/>
      </w:pPr>
      <w:r>
        <w:t>Section 305 – Interior Structures</w:t>
      </w:r>
    </w:p>
    <w:p w:rsidR="000D770D" w:rsidRDefault="000D770D" w:rsidP="00F26EEF">
      <w:pPr>
        <w:ind w:left="720"/>
        <w:jc w:val="both"/>
      </w:pPr>
      <w:r>
        <w:t xml:space="preserve">Sub-section 305.1.1 – Unsafe Conditions </w:t>
      </w:r>
    </w:p>
    <w:p w:rsidR="000D770D" w:rsidRDefault="000D770D" w:rsidP="00F26EEF">
      <w:pPr>
        <w:ind w:left="720"/>
        <w:jc w:val="both"/>
      </w:pPr>
      <w:r>
        <w:t>Sub-sections 305.1.1(1), (2), (3), (4), (6)</w:t>
      </w:r>
    </w:p>
    <w:p w:rsidR="000D770D" w:rsidRDefault="000D770D" w:rsidP="00F26EEF">
      <w:pPr>
        <w:ind w:left="720"/>
        <w:jc w:val="both"/>
      </w:pPr>
      <w:r>
        <w:t>Section 306 – Component Serviceability</w:t>
      </w:r>
    </w:p>
    <w:p w:rsidR="000D770D" w:rsidRDefault="000D770D" w:rsidP="00F26EEF">
      <w:pPr>
        <w:ind w:left="720"/>
        <w:jc w:val="both"/>
      </w:pPr>
      <w:r>
        <w:t>Sub-sections 306.1.1 – Unsafe Conditions</w:t>
      </w:r>
    </w:p>
    <w:p w:rsidR="000D770D" w:rsidRDefault="000D770D" w:rsidP="00F26EEF">
      <w:pPr>
        <w:ind w:left="720"/>
        <w:jc w:val="both"/>
      </w:pPr>
      <w:r>
        <w:t>Sub-section 306.1.1(1)</w:t>
      </w:r>
    </w:p>
    <w:p w:rsidR="000D770D" w:rsidRDefault="000D770D" w:rsidP="00F26EEF">
      <w:pPr>
        <w:ind w:left="720"/>
        <w:jc w:val="both"/>
      </w:pPr>
    </w:p>
    <w:p w:rsidR="000D770D" w:rsidRDefault="000D770D" w:rsidP="00F26EEF">
      <w:pPr>
        <w:ind w:left="720"/>
        <w:jc w:val="both"/>
      </w:pPr>
      <w:r>
        <w:t>Chapter 4 – LIGHT, VENTILATION AND OCCUPANCY LIMITATIONS</w:t>
      </w:r>
    </w:p>
    <w:p w:rsidR="000D770D" w:rsidRDefault="000D770D" w:rsidP="00F26EEF">
      <w:pPr>
        <w:ind w:left="720"/>
        <w:jc w:val="both"/>
      </w:pPr>
      <w:r>
        <w:t>Section 402 - Light</w:t>
      </w:r>
    </w:p>
    <w:p w:rsidR="000D770D" w:rsidRDefault="000D770D" w:rsidP="00F26EEF">
      <w:pPr>
        <w:ind w:left="720"/>
        <w:jc w:val="both"/>
      </w:pPr>
      <w:r>
        <w:t>Sub-section 402.2 – Common Hall and Stairways</w:t>
      </w:r>
    </w:p>
    <w:p w:rsidR="000D770D" w:rsidRDefault="000D770D" w:rsidP="00F26EEF">
      <w:pPr>
        <w:ind w:left="720"/>
        <w:jc w:val="both"/>
      </w:pPr>
      <w:r>
        <w:t>Section 404 – Occupancy Limitations</w:t>
      </w:r>
    </w:p>
    <w:p w:rsidR="000D770D" w:rsidRDefault="000D770D" w:rsidP="00F26EEF">
      <w:pPr>
        <w:ind w:left="720"/>
        <w:jc w:val="both"/>
      </w:pPr>
      <w:r>
        <w:t>Sub-section 404.4.1 – Room Area</w:t>
      </w:r>
    </w:p>
    <w:p w:rsidR="000D770D" w:rsidRDefault="000D770D" w:rsidP="00F26EEF">
      <w:pPr>
        <w:ind w:left="720"/>
        <w:jc w:val="both"/>
      </w:pPr>
      <w:r>
        <w:t>Sub-section 404.7 – Food Preparation</w:t>
      </w:r>
    </w:p>
    <w:p w:rsidR="000D770D" w:rsidRDefault="000D770D" w:rsidP="00F26EEF">
      <w:pPr>
        <w:ind w:left="720"/>
        <w:jc w:val="both"/>
      </w:pPr>
    </w:p>
    <w:p w:rsidR="000D770D" w:rsidRDefault="000D770D" w:rsidP="00F26EEF">
      <w:pPr>
        <w:ind w:left="720"/>
        <w:jc w:val="both"/>
      </w:pPr>
      <w:r>
        <w:t>Chapter 5 – PLUMBING FACILITIES AND FIXTURE REQUIREMENTS</w:t>
      </w:r>
    </w:p>
    <w:p w:rsidR="000D770D" w:rsidRDefault="000D770D" w:rsidP="00F26EEF">
      <w:pPr>
        <w:ind w:left="720"/>
        <w:jc w:val="both"/>
      </w:pPr>
      <w:r>
        <w:t>Section 505 – Water System</w:t>
      </w:r>
    </w:p>
    <w:p w:rsidR="000D770D" w:rsidRDefault="000D770D" w:rsidP="00F26EEF">
      <w:pPr>
        <w:ind w:left="720"/>
        <w:jc w:val="both"/>
      </w:pPr>
      <w:r>
        <w:t>Sub-section 505.4 – Water Heating Facilities</w:t>
      </w:r>
    </w:p>
    <w:p w:rsidR="000D770D" w:rsidRDefault="000D770D" w:rsidP="00F26EEF">
      <w:pPr>
        <w:ind w:left="720"/>
        <w:jc w:val="both"/>
      </w:pPr>
      <w:r>
        <w:t>Section 506 – Sanitary Drainage System</w:t>
      </w:r>
    </w:p>
    <w:p w:rsidR="000D770D" w:rsidRDefault="000D770D" w:rsidP="00F26EEF">
      <w:pPr>
        <w:ind w:left="720"/>
        <w:jc w:val="both"/>
      </w:pPr>
      <w:r>
        <w:t>Sub-section 506.3 – Grease Interceptors</w:t>
      </w:r>
    </w:p>
    <w:p w:rsidR="000D770D" w:rsidRDefault="000D770D" w:rsidP="00F26EEF">
      <w:pPr>
        <w:ind w:left="720"/>
        <w:jc w:val="both"/>
      </w:pPr>
    </w:p>
    <w:p w:rsidR="000D770D" w:rsidRDefault="000D770D" w:rsidP="00F26EEF">
      <w:pPr>
        <w:ind w:left="720"/>
        <w:jc w:val="both"/>
      </w:pPr>
      <w:r>
        <w:t>Chapter 6 – MECHANICAL AND ELECTRICAL REQUIREMENTS</w:t>
      </w:r>
    </w:p>
    <w:p w:rsidR="000D770D" w:rsidRDefault="000D770D" w:rsidP="00F26EEF">
      <w:pPr>
        <w:ind w:left="720"/>
        <w:jc w:val="both"/>
      </w:pPr>
      <w:r>
        <w:t>Section 604 – Electrical Facilities</w:t>
      </w:r>
    </w:p>
    <w:p w:rsidR="000D770D" w:rsidRDefault="000D770D" w:rsidP="00F26EEF">
      <w:pPr>
        <w:ind w:left="720"/>
        <w:jc w:val="both"/>
      </w:pPr>
      <w:r>
        <w:t>Sub-section 604.3.1 – Abatement of electrical hazards associated with water exposure</w:t>
      </w:r>
    </w:p>
    <w:p w:rsidR="000D770D" w:rsidRDefault="000D770D" w:rsidP="00F26EEF">
      <w:pPr>
        <w:ind w:left="720"/>
        <w:jc w:val="both"/>
      </w:pPr>
      <w:r>
        <w:t>Sub-section 604.3.1.1 – Electrical Equipment</w:t>
      </w:r>
    </w:p>
    <w:p w:rsidR="000D770D" w:rsidRDefault="000D770D" w:rsidP="00F26EEF">
      <w:pPr>
        <w:ind w:left="720"/>
        <w:jc w:val="both"/>
      </w:pPr>
      <w:r>
        <w:t>Sub-section 604.3.2 – Abatement of electrical hazards associated with fire exposure</w:t>
      </w:r>
    </w:p>
    <w:p w:rsidR="000D770D" w:rsidRDefault="000D770D" w:rsidP="00F26EEF">
      <w:pPr>
        <w:ind w:left="720"/>
        <w:jc w:val="both"/>
      </w:pPr>
      <w:r>
        <w:t>Sub-section 604.3.2.1 – Electrical equipment</w:t>
      </w:r>
    </w:p>
    <w:p w:rsidR="000D770D" w:rsidRDefault="000D770D" w:rsidP="00F26EEF">
      <w:pPr>
        <w:jc w:val="both"/>
      </w:pPr>
    </w:p>
    <w:p w:rsidR="000D770D" w:rsidRDefault="000D770D" w:rsidP="00F26EEF">
      <w:pPr>
        <w:jc w:val="both"/>
      </w:pPr>
    </w:p>
    <w:p w:rsidR="009E0CF2" w:rsidRDefault="00902C4D" w:rsidP="00F26EEF">
      <w:pPr>
        <w:jc w:val="both"/>
      </w:pPr>
      <w:proofErr w:type="gramStart"/>
      <w:r w:rsidRPr="00902C4D">
        <w:t xml:space="preserve">SECTION </w:t>
      </w:r>
      <w:r w:rsidR="004C5FE1">
        <w:t>3</w:t>
      </w:r>
      <w:r w:rsidRPr="00902C4D">
        <w:t>.</w:t>
      </w:r>
      <w:proofErr w:type="gramEnd"/>
      <w:r w:rsidRPr="00902C4D">
        <w:t xml:space="preserve">  That the following selected </w:t>
      </w:r>
      <w:r>
        <w:t xml:space="preserve">text for subsection 304.14 of the 2009 International Property Maintenance Code as adopted and incorporated into </w:t>
      </w:r>
      <w:r w:rsidRPr="00902C4D">
        <w:t>Article 1733.01</w:t>
      </w:r>
      <w:r>
        <w:t xml:space="preserve"> of the Codified Ordinances of the City of Bethlehem,</w:t>
      </w:r>
      <w:r w:rsidRPr="00902C4D">
        <w:t xml:space="preserve"> </w:t>
      </w:r>
      <w:r>
        <w:t xml:space="preserve">and </w:t>
      </w:r>
      <w:r w:rsidRPr="00902C4D">
        <w:t xml:space="preserve">as renumbered herein as </w:t>
      </w:r>
      <w:r>
        <w:t xml:space="preserve">Article </w:t>
      </w:r>
      <w:r w:rsidRPr="00902C4D">
        <w:t xml:space="preserve">1733.02, </w:t>
      </w:r>
      <w:r>
        <w:t>presently reads as follows:</w:t>
      </w:r>
    </w:p>
    <w:p w:rsidR="000404DB" w:rsidRPr="00032D85" w:rsidRDefault="000404DB" w:rsidP="00F26EEF">
      <w:pPr>
        <w:jc w:val="both"/>
      </w:pPr>
    </w:p>
    <w:p w:rsidR="00326110" w:rsidRPr="00612D99" w:rsidRDefault="00326110" w:rsidP="00F26EEF">
      <w:pPr>
        <w:ind w:left="720"/>
        <w:jc w:val="both"/>
        <w:rPr>
          <w:bCs/>
        </w:rPr>
      </w:pPr>
      <w:r w:rsidRPr="00612D99">
        <w:rPr>
          <w:bCs/>
        </w:rPr>
        <w:t>304</w:t>
      </w:r>
      <w:r w:rsidR="009E0CF2">
        <w:rPr>
          <w:bCs/>
        </w:rPr>
        <w:t>.14.</w:t>
      </w:r>
      <w:r w:rsidRPr="00612D99">
        <w:rPr>
          <w:bCs/>
        </w:rPr>
        <w:t xml:space="preserve"> </w:t>
      </w:r>
      <w:r w:rsidR="009E0CF2">
        <w:rPr>
          <w:bCs/>
        </w:rPr>
        <w:t>Insect Screen</w:t>
      </w:r>
      <w:r w:rsidR="00175F44">
        <w:rPr>
          <w:bCs/>
        </w:rPr>
        <w:t>s</w:t>
      </w:r>
      <w:r w:rsidR="009E0CF2">
        <w:rPr>
          <w:bCs/>
        </w:rPr>
        <w:t xml:space="preserve">.  </w:t>
      </w:r>
      <w:r w:rsidR="009E0CF2" w:rsidRPr="00175F44">
        <w:rPr>
          <w:bCs/>
          <w:strike/>
        </w:rPr>
        <w:t xml:space="preserve">Every exterior window and door frame that has the necessary mechanical storm and screen hardware in </w:t>
      </w:r>
      <w:proofErr w:type="gramStart"/>
      <w:r w:rsidR="009E0CF2" w:rsidRPr="00175F44">
        <w:rPr>
          <w:bCs/>
          <w:strike/>
        </w:rPr>
        <w:t>place,</w:t>
      </w:r>
      <w:proofErr w:type="gramEnd"/>
      <w:r w:rsidR="009E0CF2" w:rsidRPr="00175F44">
        <w:rPr>
          <w:bCs/>
          <w:strike/>
        </w:rPr>
        <w:t xml:space="preserve"> must be provided with proper fitting windows and screens.</w:t>
      </w:r>
      <w:r w:rsidR="009E0CF2">
        <w:rPr>
          <w:bCs/>
        </w:rPr>
        <w:t xml:space="preserve"> </w:t>
      </w:r>
    </w:p>
    <w:p w:rsidR="00326110" w:rsidRDefault="00326110" w:rsidP="00F26EEF">
      <w:pPr>
        <w:ind w:left="720"/>
        <w:jc w:val="both"/>
        <w:rPr>
          <w:b/>
          <w:bCs/>
        </w:rPr>
      </w:pPr>
    </w:p>
    <w:p w:rsidR="009E0CF2" w:rsidRDefault="009E0CF2" w:rsidP="00F26EEF">
      <w:pPr>
        <w:jc w:val="both"/>
        <w:rPr>
          <w:bCs/>
        </w:rPr>
      </w:pPr>
      <w:r w:rsidRPr="00175F44">
        <w:rPr>
          <w:bCs/>
        </w:rPr>
        <w:t>Shall be amended to read as follows:</w:t>
      </w:r>
    </w:p>
    <w:p w:rsidR="009E0CF2" w:rsidRDefault="009E0CF2" w:rsidP="00F26EEF">
      <w:pPr>
        <w:jc w:val="both"/>
        <w:rPr>
          <w:bCs/>
        </w:rPr>
      </w:pPr>
    </w:p>
    <w:p w:rsidR="009E0CF2" w:rsidRPr="009E0CF2" w:rsidRDefault="009E0CF2" w:rsidP="00F26EEF">
      <w:pPr>
        <w:ind w:left="720"/>
        <w:jc w:val="both"/>
        <w:rPr>
          <w:bCs/>
        </w:rPr>
      </w:pPr>
      <w:r w:rsidRPr="009E0CF2">
        <w:rPr>
          <w:bCs/>
        </w:rPr>
        <w:t>304.14</w:t>
      </w:r>
      <w:r>
        <w:rPr>
          <w:bCs/>
        </w:rPr>
        <w:t>.</w:t>
      </w:r>
      <w:r w:rsidRPr="009E0CF2">
        <w:rPr>
          <w:bCs/>
        </w:rPr>
        <w:t xml:space="preserve"> Insect Screen</w:t>
      </w:r>
      <w:r w:rsidR="00175F44">
        <w:rPr>
          <w:bCs/>
        </w:rPr>
        <w:t>s</w:t>
      </w:r>
      <w:r w:rsidRPr="009E0CF2">
        <w:rPr>
          <w:bCs/>
        </w:rPr>
        <w:t xml:space="preserve">.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(16 mesh per 25 mm) and every </w:t>
      </w:r>
      <w:r>
        <w:rPr>
          <w:bCs/>
        </w:rPr>
        <w:t>swinging door shall have a self-</w:t>
      </w:r>
      <w:r w:rsidRPr="009E0CF2">
        <w:rPr>
          <w:bCs/>
        </w:rPr>
        <w:t>closing device in good working condition.</w:t>
      </w:r>
    </w:p>
    <w:p w:rsidR="009E0CF2" w:rsidRPr="009E0CF2" w:rsidRDefault="009E0CF2" w:rsidP="00F26EEF">
      <w:pPr>
        <w:ind w:left="720"/>
        <w:jc w:val="both"/>
        <w:rPr>
          <w:bCs/>
        </w:rPr>
      </w:pPr>
    </w:p>
    <w:p w:rsidR="009E0CF2" w:rsidRPr="00175F44" w:rsidRDefault="009E0CF2" w:rsidP="00F26EEF">
      <w:pPr>
        <w:ind w:left="1440"/>
        <w:jc w:val="both"/>
        <w:rPr>
          <w:bCs/>
        </w:rPr>
      </w:pPr>
      <w:r w:rsidRPr="009E0CF2">
        <w:rPr>
          <w:bCs/>
        </w:rPr>
        <w:t>Exception:  Screens shall not be required where other approved means, such as air curtains or insect repellent fans are employed.</w:t>
      </w:r>
    </w:p>
    <w:p w:rsidR="00175F44" w:rsidRDefault="00952A36" w:rsidP="00F26EEF">
      <w:pPr>
        <w:tabs>
          <w:tab w:val="left" w:pos="1440"/>
          <w:tab w:val="left" w:pos="7783"/>
        </w:tabs>
        <w:ind w:firstLine="720"/>
        <w:jc w:val="both"/>
      </w:pPr>
      <w:r>
        <w:tab/>
      </w:r>
    </w:p>
    <w:p w:rsidR="00175F44" w:rsidRDefault="00175F44" w:rsidP="00F26EEF">
      <w:pPr>
        <w:tabs>
          <w:tab w:val="left" w:pos="720"/>
        </w:tabs>
        <w:jc w:val="both"/>
      </w:pPr>
      <w:proofErr w:type="gramStart"/>
      <w:r>
        <w:t>SECT</w:t>
      </w:r>
      <w:r w:rsidR="004C5FE1">
        <w:t>ION 4</w:t>
      </w:r>
      <w:r>
        <w:t>.</w:t>
      </w:r>
      <w:proofErr w:type="gramEnd"/>
      <w:r>
        <w:t xml:space="preserve"> </w:t>
      </w:r>
      <w:r w:rsidR="00015058">
        <w:tab/>
      </w:r>
      <w:r w:rsidRPr="00175F44">
        <w:t xml:space="preserve">That the following selected text for subsection </w:t>
      </w:r>
      <w:r>
        <w:t>6</w:t>
      </w:r>
      <w:r w:rsidRPr="00175F44">
        <w:t>04.</w:t>
      </w:r>
      <w:r>
        <w:t>2</w:t>
      </w:r>
      <w:r w:rsidRPr="00175F44">
        <w:t xml:space="preserve"> of the 2009 International Property Maintenance Code as adopted and incorporated into Article 1733.01 of the Codified </w:t>
      </w:r>
      <w:r w:rsidRPr="00175F44">
        <w:lastRenderedPageBreak/>
        <w:t>Ordinances of the City of Bethlehem, and as renumbered herein as Article 1733.02, presently reads as follows:</w:t>
      </w:r>
    </w:p>
    <w:p w:rsidR="00326110" w:rsidRPr="00612D99" w:rsidRDefault="00326110" w:rsidP="00F26EEF">
      <w:pPr>
        <w:jc w:val="both"/>
      </w:pPr>
      <w:r w:rsidRPr="00612D99">
        <w:tab/>
      </w:r>
    </w:p>
    <w:p w:rsidR="00175F44" w:rsidRPr="00612D99" w:rsidRDefault="00326110" w:rsidP="00F26EEF">
      <w:pPr>
        <w:ind w:left="720"/>
        <w:jc w:val="both"/>
        <w:rPr>
          <w:bCs/>
        </w:rPr>
      </w:pPr>
      <w:r w:rsidRPr="00612D99">
        <w:rPr>
          <w:bCs/>
        </w:rPr>
        <w:t>604</w:t>
      </w:r>
      <w:r w:rsidR="00175F44">
        <w:rPr>
          <w:bCs/>
        </w:rPr>
        <w:t xml:space="preserve">.2. Service.  </w:t>
      </w:r>
      <w:r w:rsidR="00175F44" w:rsidRPr="002B67A2">
        <w:rPr>
          <w:bCs/>
          <w:strike/>
        </w:rPr>
        <w:t>Every single family dwelling and housing rental unit shall be served by a main that is not less than 100 amperes.  Inadequate services must be upgraded to meet the requirements of the National Electrical Code.</w:t>
      </w:r>
      <w:r w:rsidR="00175F44" w:rsidRPr="00175F44">
        <w:rPr>
          <w:bCs/>
        </w:rPr>
        <w:t xml:space="preserve"> </w:t>
      </w:r>
    </w:p>
    <w:p w:rsidR="00175F44" w:rsidRDefault="00175F44" w:rsidP="00F26EEF">
      <w:pPr>
        <w:ind w:left="720"/>
        <w:jc w:val="both"/>
        <w:rPr>
          <w:b/>
          <w:bCs/>
        </w:rPr>
      </w:pPr>
    </w:p>
    <w:p w:rsidR="00175F44" w:rsidRDefault="00175F44" w:rsidP="00F26EEF">
      <w:pPr>
        <w:jc w:val="both"/>
        <w:rPr>
          <w:bCs/>
        </w:rPr>
      </w:pPr>
      <w:r w:rsidRPr="00175F44">
        <w:rPr>
          <w:bCs/>
        </w:rPr>
        <w:t>Shall be amended to read as follows:</w:t>
      </w:r>
    </w:p>
    <w:p w:rsidR="00175F44" w:rsidRDefault="00175F44" w:rsidP="00F26EEF">
      <w:pPr>
        <w:jc w:val="both"/>
        <w:rPr>
          <w:bCs/>
        </w:rPr>
      </w:pPr>
    </w:p>
    <w:p w:rsidR="00175F44" w:rsidRPr="00952A36" w:rsidRDefault="00175F44" w:rsidP="00F26EEF">
      <w:pPr>
        <w:ind w:left="720"/>
        <w:jc w:val="both"/>
        <w:rPr>
          <w:b/>
        </w:rPr>
      </w:pPr>
      <w:r>
        <w:rPr>
          <w:bCs/>
        </w:rPr>
        <w:t xml:space="preserve">604.2. Service.  </w:t>
      </w:r>
      <w:r w:rsidRPr="00175F44">
        <w:t xml:space="preserve">The size and usage of appliances and equipment shall serve as a basis for determining the need for additional facilities in accordance with the ICC Electrical Code.  Dwelling units shall be served by a three-wire, 120/240 volt, </w:t>
      </w:r>
      <w:proofErr w:type="gramStart"/>
      <w:r w:rsidRPr="00175F44">
        <w:t>single</w:t>
      </w:r>
      <w:proofErr w:type="gramEnd"/>
      <w:r w:rsidRPr="00175F44">
        <w:t xml:space="preserve">-phase electrical service having a rating of not less than </w:t>
      </w:r>
      <w:r w:rsidRPr="00175F44">
        <w:rPr>
          <w:u w:val="single"/>
        </w:rPr>
        <w:t>100</w:t>
      </w:r>
      <w:r w:rsidRPr="00175F44">
        <w:t xml:space="preserve"> amperes.</w:t>
      </w:r>
    </w:p>
    <w:p w:rsidR="00326110" w:rsidRPr="00612D99" w:rsidRDefault="00326110" w:rsidP="00F26EEF">
      <w:pPr>
        <w:ind w:left="720"/>
        <w:jc w:val="both"/>
        <w:rPr>
          <w:bCs/>
        </w:rPr>
      </w:pPr>
    </w:p>
    <w:p w:rsidR="00612D99" w:rsidRDefault="00612D99" w:rsidP="00F26EEF">
      <w:pPr>
        <w:ind w:left="720"/>
        <w:jc w:val="both"/>
      </w:pPr>
    </w:p>
    <w:p w:rsidR="00B252A4" w:rsidRDefault="00B252A4" w:rsidP="00F26EEF">
      <w:pPr>
        <w:shd w:val="clear" w:color="auto" w:fill="FFFFFF"/>
        <w:contextualSpacing/>
        <w:jc w:val="both"/>
        <w:rPr>
          <w:bCs/>
        </w:rPr>
      </w:pPr>
      <w:proofErr w:type="gramStart"/>
      <w:r w:rsidRPr="00B252A4">
        <w:rPr>
          <w:bCs/>
        </w:rPr>
        <w:t>S</w:t>
      </w:r>
      <w:r>
        <w:rPr>
          <w:bCs/>
        </w:rPr>
        <w:t xml:space="preserve">ECTION </w:t>
      </w:r>
      <w:r w:rsidR="002B67A2">
        <w:rPr>
          <w:bCs/>
        </w:rPr>
        <w:t>5</w:t>
      </w:r>
      <w:r w:rsidRPr="00B252A4">
        <w:rPr>
          <w:bCs/>
        </w:rPr>
        <w:t>.</w:t>
      </w:r>
      <w:proofErr w:type="gramEnd"/>
      <w:r w:rsidRPr="009675D0">
        <w:rPr>
          <w:b/>
          <w:bCs/>
        </w:rPr>
        <w:t xml:space="preserve">  </w:t>
      </w:r>
      <w:r w:rsidR="00F26EEF" w:rsidRPr="00F26EEF">
        <w:rPr>
          <w:bCs/>
        </w:rPr>
        <w:t xml:space="preserve">That the following selected text for subsection </w:t>
      </w:r>
      <w:r w:rsidR="00F26EEF">
        <w:rPr>
          <w:bCs/>
        </w:rPr>
        <w:t>111.1</w:t>
      </w:r>
      <w:r w:rsidR="00F26EEF" w:rsidRPr="00F26EEF">
        <w:rPr>
          <w:bCs/>
        </w:rPr>
        <w:t xml:space="preserve"> of the 2009 International Property Maintenance Code as adopted and incorporated into Article 1733.01 of the Codified Ordinances of the City of Bethlehem, presently reads as follows</w:t>
      </w:r>
      <w:r w:rsidR="0072778E">
        <w:rPr>
          <w:bCs/>
        </w:rPr>
        <w:t>:</w:t>
      </w:r>
    </w:p>
    <w:p w:rsidR="00F26EEF" w:rsidRPr="009675D0" w:rsidRDefault="00F26EEF" w:rsidP="00F26EEF">
      <w:pPr>
        <w:shd w:val="clear" w:color="auto" w:fill="FFFFFF"/>
        <w:contextualSpacing/>
        <w:jc w:val="both"/>
      </w:pPr>
    </w:p>
    <w:p w:rsidR="00B252A4" w:rsidRPr="00F26EEF" w:rsidRDefault="00B252A4" w:rsidP="00F26EEF">
      <w:pPr>
        <w:shd w:val="clear" w:color="auto" w:fill="FFFFFF"/>
        <w:tabs>
          <w:tab w:val="left" w:pos="-270"/>
        </w:tabs>
        <w:ind w:left="720"/>
        <w:contextualSpacing/>
        <w:jc w:val="both"/>
      </w:pPr>
      <w:r w:rsidRPr="00F26EEF">
        <w:rPr>
          <w:bCs/>
        </w:rPr>
        <w:t>111</w:t>
      </w:r>
      <w:r w:rsidR="00F26EEF" w:rsidRPr="00F26EEF">
        <w:rPr>
          <w:bCs/>
        </w:rPr>
        <w:t>.1</w:t>
      </w:r>
      <w:proofErr w:type="gramStart"/>
      <w:r w:rsidR="00F26EEF" w:rsidRPr="00F26EEF">
        <w:rPr>
          <w:bCs/>
        </w:rPr>
        <w:t>.  Application</w:t>
      </w:r>
      <w:proofErr w:type="gramEnd"/>
      <w:r w:rsidR="00F26EEF" w:rsidRPr="00F26EEF">
        <w:rPr>
          <w:bCs/>
        </w:rPr>
        <w:t xml:space="preserve"> for appeal.  </w:t>
      </w:r>
      <w:r w:rsidRPr="00F26EEF">
        <w:rPr>
          <w:bCs/>
        </w:rPr>
        <w:t>Any person directly affected by a decision of the code official or a notice or order issued under this code shall have the right to appeal to the board of appeals, provided that a written application for appeal is filed within 20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p>
    <w:p w:rsidR="00B252A4" w:rsidRPr="00862903" w:rsidRDefault="00B252A4" w:rsidP="00F26EEF">
      <w:pPr>
        <w:shd w:val="clear" w:color="auto" w:fill="FFFFFF"/>
        <w:contextualSpacing/>
        <w:jc w:val="both"/>
        <w:rPr>
          <w:bCs/>
          <w:u w:val="single"/>
        </w:rPr>
      </w:pPr>
    </w:p>
    <w:p w:rsidR="00B252A4" w:rsidRPr="00F26EEF" w:rsidRDefault="00B252A4" w:rsidP="00F26EEF">
      <w:pPr>
        <w:shd w:val="clear" w:color="auto" w:fill="FFFFFF"/>
        <w:contextualSpacing/>
        <w:jc w:val="both"/>
      </w:pPr>
      <w:r w:rsidRPr="00F26EEF">
        <w:rPr>
          <w:bCs/>
        </w:rPr>
        <w:t>Shall be amended to read:</w:t>
      </w:r>
    </w:p>
    <w:p w:rsidR="00B252A4" w:rsidRPr="00862903" w:rsidRDefault="00B252A4" w:rsidP="00F26EEF">
      <w:pPr>
        <w:shd w:val="clear" w:color="auto" w:fill="FFFFFF"/>
        <w:contextualSpacing/>
        <w:jc w:val="both"/>
        <w:rPr>
          <w:bCs/>
          <w:u w:val="single"/>
        </w:rPr>
      </w:pPr>
    </w:p>
    <w:p w:rsidR="00B252A4" w:rsidRDefault="00B252A4" w:rsidP="00F26EEF">
      <w:pPr>
        <w:ind w:left="720"/>
        <w:jc w:val="both"/>
      </w:pPr>
      <w:r w:rsidRPr="00F26EEF">
        <w:rPr>
          <w:bCs/>
        </w:rPr>
        <w:t xml:space="preserve">Any person directly affected by a decision of the code official or a notice or order issued under this code shall have the right to appeal to the board of appeals, provided that a written application for appeal is filed within </w:t>
      </w:r>
      <w:r w:rsidRPr="00F26EEF">
        <w:rPr>
          <w:b/>
          <w:bCs/>
        </w:rPr>
        <w:t>10</w:t>
      </w:r>
      <w:r w:rsidRPr="00F26EEF">
        <w:rPr>
          <w:bCs/>
        </w:rPr>
        <w:t xml:space="preserve">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r w:rsidRPr="00862903">
        <w:rPr>
          <w:bCs/>
          <w:u w:val="single"/>
        </w:rPr>
        <w:t xml:space="preserve">  </w:t>
      </w:r>
      <w:r w:rsidRPr="00862903">
        <w:rPr>
          <w:b/>
          <w:bCs/>
          <w:u w:val="single"/>
        </w:rPr>
        <w:t>Notwithstanding the foregoing, or any other inconsistent provision of this code, there shall be no right of appeal to the board of appeals from a notice of violation issued by the code official alleging a violation of this code.  Where a person has been served with a notice of violation and has failed, within the time provided for in the notice, to correct the violation, the code official may immediately issue a summary citation to the person based upon the violation and may issue subsequent citations as frequently as permitted by law until the violation is corrected.</w:t>
      </w:r>
    </w:p>
    <w:p w:rsidR="00B252A4" w:rsidRDefault="00B252A4" w:rsidP="00F26EEF">
      <w:pPr>
        <w:jc w:val="both"/>
      </w:pPr>
    </w:p>
    <w:p w:rsidR="00326110" w:rsidRPr="00612D99" w:rsidRDefault="00772C78" w:rsidP="00F26EEF">
      <w:pPr>
        <w:jc w:val="both"/>
      </w:pPr>
      <w:r>
        <w:br w:type="page"/>
      </w:r>
      <w:proofErr w:type="gramStart"/>
      <w:r w:rsidR="00587D24" w:rsidRPr="00612D99">
        <w:lastRenderedPageBreak/>
        <w:t xml:space="preserve">SECTION </w:t>
      </w:r>
      <w:r w:rsidR="00F26EEF">
        <w:t>6</w:t>
      </w:r>
      <w:r w:rsidR="00326110" w:rsidRPr="00612D99">
        <w:t>.</w:t>
      </w:r>
      <w:proofErr w:type="gramEnd"/>
      <w:r w:rsidR="00326110" w:rsidRPr="00612D99">
        <w:t xml:space="preserve">  That all Ordinances and parts of Ordinances inconsistent herewith </w:t>
      </w:r>
      <w:proofErr w:type="gramStart"/>
      <w:r w:rsidR="00326110" w:rsidRPr="00612D99">
        <w:t>be</w:t>
      </w:r>
      <w:proofErr w:type="gramEnd"/>
      <w:r w:rsidR="00326110" w:rsidRPr="00612D99">
        <w:t>, and the same are hereby repealed.</w:t>
      </w:r>
    </w:p>
    <w:p w:rsidR="00326110" w:rsidRPr="00612D99" w:rsidRDefault="00326110" w:rsidP="00F26EEF">
      <w:pPr>
        <w:tabs>
          <w:tab w:val="left" w:pos="-720"/>
        </w:tabs>
        <w:suppressAutoHyphens/>
        <w:jc w:val="both"/>
      </w:pPr>
    </w:p>
    <w:p w:rsidR="00326110" w:rsidRPr="00032D85" w:rsidRDefault="00612D99" w:rsidP="00F26EEF">
      <w:pPr>
        <w:tabs>
          <w:tab w:val="left" w:pos="-720"/>
        </w:tabs>
        <w:suppressAutoHyphens/>
        <w:jc w:val="both"/>
        <w:rPr>
          <w:u w:val="single"/>
        </w:rPr>
      </w:pPr>
      <w:r>
        <w:tab/>
      </w:r>
      <w:r>
        <w:tab/>
      </w:r>
      <w:r>
        <w:tab/>
      </w:r>
      <w:r>
        <w:tab/>
      </w:r>
      <w:r>
        <w:tab/>
      </w:r>
      <w:r w:rsidR="00032D85">
        <w:t>Sponsored by</w:t>
      </w:r>
      <w:r w:rsidR="00032D85">
        <w:tab/>
      </w:r>
      <w:r w:rsidR="00032D85">
        <w:rPr>
          <w:u w:val="single"/>
        </w:rPr>
        <w:tab/>
      </w:r>
      <w:r w:rsidR="00032D85">
        <w:rPr>
          <w:u w:val="single"/>
        </w:rPr>
        <w:tab/>
      </w:r>
      <w:r w:rsidR="00032D85">
        <w:rPr>
          <w:u w:val="single"/>
        </w:rPr>
        <w:tab/>
      </w:r>
      <w:r w:rsidR="00032D85">
        <w:rPr>
          <w:u w:val="single"/>
        </w:rPr>
        <w:tab/>
      </w:r>
      <w:r w:rsidR="00032D85">
        <w:rPr>
          <w:u w:val="single"/>
        </w:rPr>
        <w:tab/>
      </w:r>
    </w:p>
    <w:p w:rsidR="00326110" w:rsidRPr="00032D85" w:rsidRDefault="00326110" w:rsidP="00F26EEF">
      <w:pPr>
        <w:tabs>
          <w:tab w:val="left" w:pos="-720"/>
        </w:tabs>
        <w:suppressAutoHyphens/>
        <w:ind w:left="720"/>
        <w:jc w:val="both"/>
        <w:rPr>
          <w:u w:val="single"/>
        </w:rPr>
      </w:pP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612D99">
        <w:tab/>
      </w:r>
      <w:r w:rsidR="00612D99">
        <w:tab/>
      </w:r>
      <w:r w:rsidR="00612D99">
        <w:tab/>
      </w:r>
      <w:r w:rsidR="00612D99">
        <w:tab/>
        <w:t xml:space="preserve">        </w:t>
      </w:r>
      <w:r w:rsidR="00032D85">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p>
    <w:p w:rsidR="00326110" w:rsidRPr="00612D99" w:rsidRDefault="00326110" w:rsidP="00F26EEF">
      <w:pPr>
        <w:tabs>
          <w:tab w:val="left" w:pos="-720"/>
        </w:tabs>
        <w:suppressAutoHyphens/>
        <w:jc w:val="both"/>
      </w:pPr>
    </w:p>
    <w:p w:rsidR="00326110" w:rsidRPr="00612D99" w:rsidRDefault="00326110" w:rsidP="00F26EEF">
      <w:pPr>
        <w:tabs>
          <w:tab w:val="left" w:pos="-720"/>
        </w:tabs>
        <w:suppressAutoHyphens/>
        <w:jc w:val="both"/>
      </w:pPr>
    </w:p>
    <w:p w:rsidR="00326110" w:rsidRPr="00612D99" w:rsidRDefault="00326110" w:rsidP="00F26EEF">
      <w:pPr>
        <w:tabs>
          <w:tab w:val="left" w:pos="-720"/>
        </w:tabs>
        <w:suppressAutoHyphens/>
        <w:jc w:val="both"/>
      </w:pPr>
      <w:r w:rsidRPr="00612D99">
        <w:tab/>
      </w:r>
      <w:proofErr w:type="gramStart"/>
      <w:r w:rsidRPr="00612D99">
        <w:t>PASSED finally in Council on the         day of                            , 20____.</w:t>
      </w:r>
      <w:proofErr w:type="gramEnd"/>
    </w:p>
    <w:p w:rsidR="00326110" w:rsidRPr="00612D99" w:rsidRDefault="00326110" w:rsidP="00F26EEF">
      <w:pPr>
        <w:tabs>
          <w:tab w:val="left" w:pos="-720"/>
        </w:tabs>
        <w:suppressAutoHyphens/>
        <w:jc w:val="both"/>
      </w:pPr>
    </w:p>
    <w:p w:rsidR="00587D24" w:rsidRPr="00612D99" w:rsidRDefault="00587D24" w:rsidP="00F26EEF">
      <w:pPr>
        <w:tabs>
          <w:tab w:val="left" w:pos="-720"/>
        </w:tabs>
        <w:suppressAutoHyphens/>
        <w:jc w:val="both"/>
      </w:pPr>
    </w:p>
    <w:p w:rsidR="00326110" w:rsidRPr="00612D99" w:rsidRDefault="00326110" w:rsidP="00F26EEF">
      <w:pPr>
        <w:tabs>
          <w:tab w:val="left" w:pos="-720"/>
        </w:tabs>
        <w:suppressAutoHyphens/>
        <w:ind w:left="2160"/>
        <w:jc w:val="both"/>
      </w:pPr>
      <w:r w:rsidRPr="00612D99">
        <w:tab/>
      </w: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r w:rsidRPr="00612D99">
        <w:rPr>
          <w:u w:val="single"/>
        </w:rPr>
        <w:t xml:space="preserve"> </w:t>
      </w:r>
    </w:p>
    <w:p w:rsidR="00326110" w:rsidRPr="00612D99" w:rsidRDefault="00326110" w:rsidP="00F26EEF">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Pr="00612D99">
        <w:tab/>
        <w:t>President of Council</w:t>
      </w:r>
    </w:p>
    <w:p w:rsidR="00326110" w:rsidRPr="00612D99" w:rsidRDefault="00326110">
      <w:pPr>
        <w:tabs>
          <w:tab w:val="left" w:pos="-720"/>
        </w:tabs>
        <w:suppressAutoHyphens/>
      </w:pPr>
      <w:r w:rsidRPr="00612D99">
        <w:t>ATTEST:</w:t>
      </w:r>
    </w:p>
    <w:p w:rsidR="00587D24" w:rsidRPr="00612D99" w:rsidRDefault="00587D24">
      <w:pPr>
        <w:tabs>
          <w:tab w:val="left" w:pos="-720"/>
        </w:tabs>
        <w:suppressAutoHyphens/>
      </w:pPr>
    </w:p>
    <w:p w:rsidR="00326110" w:rsidRPr="00612D99" w:rsidRDefault="00326110">
      <w:pPr>
        <w:tabs>
          <w:tab w:val="left" w:pos="-720"/>
        </w:tabs>
        <w:suppressAutoHyphens/>
      </w:pPr>
    </w:p>
    <w:p w:rsidR="00326110" w:rsidRPr="00612D99" w:rsidRDefault="00326110">
      <w:pPr>
        <w:tabs>
          <w:tab w:val="left" w:pos="-720"/>
        </w:tabs>
        <w:suppressAutoHyphens/>
      </w:pPr>
      <w:r w:rsidRPr="00612D99">
        <w:rPr>
          <w:u w:val="single"/>
        </w:rPr>
        <w:tab/>
      </w:r>
      <w:r w:rsidRPr="00612D99">
        <w:rPr>
          <w:u w:val="single"/>
        </w:rPr>
        <w:tab/>
      </w:r>
      <w:r w:rsidRPr="00612D99">
        <w:rPr>
          <w:u w:val="single"/>
        </w:rPr>
        <w:tab/>
      </w:r>
      <w:r w:rsidRPr="00612D99">
        <w:rPr>
          <w:u w:val="single"/>
        </w:rPr>
        <w:tab/>
        <w:t xml:space="preserve"> </w:t>
      </w:r>
    </w:p>
    <w:p w:rsidR="00326110" w:rsidRPr="00612D99" w:rsidRDefault="00326110">
      <w:pPr>
        <w:tabs>
          <w:tab w:val="left" w:pos="-720"/>
        </w:tabs>
        <w:suppressAutoHyphens/>
      </w:pPr>
      <w:r w:rsidRPr="00612D99">
        <w:tab/>
        <w:t>City Clerk</w:t>
      </w:r>
    </w:p>
    <w:p w:rsidR="00326110" w:rsidRDefault="00326110">
      <w:pPr>
        <w:tabs>
          <w:tab w:val="left" w:pos="-720"/>
        </w:tabs>
        <w:suppressAutoHyphens/>
      </w:pPr>
    </w:p>
    <w:p w:rsidR="00612D99" w:rsidRPr="00612D99" w:rsidRDefault="00612D99">
      <w:pPr>
        <w:tabs>
          <w:tab w:val="left" w:pos="-720"/>
        </w:tabs>
        <w:suppressAutoHyphens/>
      </w:pPr>
    </w:p>
    <w:p w:rsidR="00326110" w:rsidRPr="00612D99" w:rsidRDefault="00326110">
      <w:pPr>
        <w:tabs>
          <w:tab w:val="left" w:pos="-720"/>
        </w:tabs>
        <w:suppressAutoHyphens/>
      </w:pPr>
      <w:r w:rsidRPr="00612D99">
        <w:tab/>
        <w:t>This Ordinance approved this           day of                                 , 20____.</w:t>
      </w:r>
    </w:p>
    <w:p w:rsidR="00326110" w:rsidRDefault="00326110">
      <w:pPr>
        <w:tabs>
          <w:tab w:val="left" w:pos="-720"/>
        </w:tabs>
        <w:suppressAutoHyphens/>
      </w:pPr>
    </w:p>
    <w:p w:rsidR="00612D99" w:rsidRPr="00612D99" w:rsidRDefault="00612D99">
      <w:pPr>
        <w:tabs>
          <w:tab w:val="left" w:pos="-720"/>
        </w:tabs>
        <w:suppressAutoHyphens/>
      </w:pPr>
    </w:p>
    <w:p w:rsidR="00326110" w:rsidRPr="00612D99" w:rsidRDefault="00326110">
      <w:pPr>
        <w:tabs>
          <w:tab w:val="left" w:pos="-720"/>
        </w:tabs>
        <w:suppressAutoHyphens/>
      </w:pPr>
    </w:p>
    <w:p w:rsidR="00326110" w:rsidRPr="00612D99" w:rsidRDefault="00612D99">
      <w:pPr>
        <w:tabs>
          <w:tab w:val="left" w:pos="-720"/>
        </w:tabs>
        <w:suppressAutoHyphens/>
      </w:pPr>
      <w:r>
        <w:tab/>
      </w:r>
      <w:r>
        <w:tab/>
      </w:r>
      <w:r>
        <w:tab/>
      </w:r>
      <w:r>
        <w:tab/>
      </w:r>
      <w:r>
        <w:tab/>
      </w:r>
      <w:r>
        <w:tab/>
      </w:r>
      <w:r w:rsidR="00326110" w:rsidRPr="00612D99">
        <w:tab/>
      </w:r>
      <w:r w:rsidR="00032D85">
        <w:rPr>
          <w:u w:val="single"/>
        </w:rPr>
        <w:tab/>
      </w:r>
      <w:r w:rsidR="00032D85">
        <w:rPr>
          <w:u w:val="single"/>
        </w:rPr>
        <w:tab/>
      </w:r>
      <w:r w:rsidR="00032D85">
        <w:rPr>
          <w:u w:val="single"/>
        </w:rPr>
        <w:tab/>
      </w:r>
      <w:r w:rsidR="00032D85">
        <w:rPr>
          <w:u w:val="single"/>
        </w:rPr>
        <w:tab/>
      </w:r>
      <w:r w:rsidR="00032D85">
        <w:rPr>
          <w:u w:val="single"/>
        </w:rPr>
        <w:tab/>
      </w:r>
      <w:r w:rsidR="00326110" w:rsidRPr="00612D99">
        <w:rPr>
          <w:u w:val="single"/>
        </w:rPr>
        <w:t xml:space="preserve"> </w:t>
      </w:r>
    </w:p>
    <w:p w:rsidR="00326110" w:rsidRPr="00612D99" w:rsidRDefault="00326110">
      <w:pPr>
        <w:tabs>
          <w:tab w:val="left" w:pos="-720"/>
        </w:tabs>
        <w:suppressAutoHyphens/>
      </w:pPr>
      <w:r w:rsidRPr="00612D99">
        <w:tab/>
      </w:r>
      <w:r w:rsidRPr="00612D99">
        <w:tab/>
      </w:r>
      <w:r w:rsidRPr="00612D99">
        <w:tab/>
      </w:r>
      <w:r w:rsidRPr="00612D99">
        <w:tab/>
      </w:r>
      <w:r w:rsidRPr="00612D99">
        <w:tab/>
      </w:r>
      <w:r w:rsidRPr="00612D99">
        <w:tab/>
      </w:r>
      <w:r w:rsidRPr="00612D99">
        <w:tab/>
      </w:r>
      <w:r w:rsidR="00612D99">
        <w:t xml:space="preserve">                  </w:t>
      </w:r>
      <w:r w:rsidRPr="00612D99">
        <w:t xml:space="preserve">Mayor </w:t>
      </w:r>
    </w:p>
    <w:p w:rsidR="00326110" w:rsidRPr="00612D99" w:rsidRDefault="00326110"/>
    <w:sectPr w:rsidR="00326110" w:rsidRPr="00612D99" w:rsidSect="00032D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C7" w:rsidRDefault="00C053C7" w:rsidP="00175F44">
      <w:r>
        <w:separator/>
      </w:r>
    </w:p>
  </w:endnote>
  <w:endnote w:type="continuationSeparator" w:id="0">
    <w:p w:rsidR="00C053C7" w:rsidRDefault="00C053C7" w:rsidP="001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C7" w:rsidRDefault="00C053C7" w:rsidP="00175F44">
      <w:r>
        <w:separator/>
      </w:r>
    </w:p>
  </w:footnote>
  <w:footnote w:type="continuationSeparator" w:id="0">
    <w:p w:rsidR="00C053C7" w:rsidRDefault="00C053C7" w:rsidP="001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D90"/>
    <w:multiLevelType w:val="hybridMultilevel"/>
    <w:tmpl w:val="44FAAE34"/>
    <w:lvl w:ilvl="0" w:tplc="233AAB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826F80"/>
    <w:multiLevelType w:val="hybridMultilevel"/>
    <w:tmpl w:val="226271B0"/>
    <w:lvl w:ilvl="0" w:tplc="336AC9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66307"/>
    <w:multiLevelType w:val="hybridMultilevel"/>
    <w:tmpl w:val="01BA8530"/>
    <w:lvl w:ilvl="0" w:tplc="BD669B30">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
    <w:nsid w:val="0911708E"/>
    <w:multiLevelType w:val="hybridMultilevel"/>
    <w:tmpl w:val="33D62AE2"/>
    <w:lvl w:ilvl="0" w:tplc="3C3E7D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F75509"/>
    <w:multiLevelType w:val="hybridMultilevel"/>
    <w:tmpl w:val="187EE362"/>
    <w:lvl w:ilvl="0" w:tplc="EBFCD634">
      <w:start w:val="1"/>
      <w:numFmt w:val="lowerLetter"/>
      <w:lvlText w:val="(%1)"/>
      <w:lvlJc w:val="left"/>
      <w:pPr>
        <w:tabs>
          <w:tab w:val="num" w:pos="4140"/>
        </w:tabs>
        <w:ind w:left="414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5">
    <w:nsid w:val="24B44F5E"/>
    <w:multiLevelType w:val="multilevel"/>
    <w:tmpl w:val="33F2294E"/>
    <w:lvl w:ilvl="0">
      <w:start w:val="307"/>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6">
    <w:nsid w:val="2DC64830"/>
    <w:multiLevelType w:val="hybridMultilevel"/>
    <w:tmpl w:val="D8DE6DF2"/>
    <w:lvl w:ilvl="0" w:tplc="A6D0073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DFB28FE"/>
    <w:multiLevelType w:val="hybridMultilevel"/>
    <w:tmpl w:val="1ED89036"/>
    <w:lvl w:ilvl="0" w:tplc="E75A1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2A81693"/>
    <w:multiLevelType w:val="hybridMultilevel"/>
    <w:tmpl w:val="90465FD0"/>
    <w:lvl w:ilvl="0" w:tplc="FB1E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8F39C1"/>
    <w:multiLevelType w:val="hybridMultilevel"/>
    <w:tmpl w:val="7B5612F0"/>
    <w:lvl w:ilvl="0" w:tplc="89723C7C">
      <w:start w:val="1"/>
      <w:numFmt w:val="upperLetter"/>
      <w:lvlText w:val="(%1)"/>
      <w:lvlJc w:val="left"/>
      <w:pPr>
        <w:tabs>
          <w:tab w:val="num" w:pos="2160"/>
        </w:tabs>
        <w:ind w:left="2160" w:hanging="720"/>
      </w:pPr>
      <w:rPr>
        <w:rFonts w:hint="default"/>
      </w:rPr>
    </w:lvl>
    <w:lvl w:ilvl="1" w:tplc="EB804A9E">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65A4C64"/>
    <w:multiLevelType w:val="multilevel"/>
    <w:tmpl w:val="B4B40D4C"/>
    <w:lvl w:ilvl="0">
      <w:start w:val="108"/>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1">
    <w:nsid w:val="6EF4530D"/>
    <w:multiLevelType w:val="hybridMultilevel"/>
    <w:tmpl w:val="5F8AA33E"/>
    <w:lvl w:ilvl="0" w:tplc="DBCA943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4EC4255"/>
    <w:multiLevelType w:val="multilevel"/>
    <w:tmpl w:val="EE3ADD86"/>
    <w:lvl w:ilvl="0">
      <w:start w:val="173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7ED74541"/>
    <w:multiLevelType w:val="multilevel"/>
    <w:tmpl w:val="46A0CEC8"/>
    <w:lvl w:ilvl="0">
      <w:start w:val="30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12"/>
  </w:num>
  <w:num w:numId="2">
    <w:abstractNumId w:val="1"/>
  </w:num>
  <w:num w:numId="3">
    <w:abstractNumId w:val="10"/>
  </w:num>
  <w:num w:numId="4">
    <w:abstractNumId w:val="8"/>
  </w:num>
  <w:num w:numId="5">
    <w:abstractNumId w:val="5"/>
  </w:num>
  <w:num w:numId="6">
    <w:abstractNumId w:val="13"/>
  </w:num>
  <w:num w:numId="7">
    <w:abstractNumId w:val="7"/>
  </w:num>
  <w:num w:numId="8">
    <w:abstractNumId w:val="11"/>
  </w:num>
  <w:num w:numId="9">
    <w:abstractNumId w:val="0"/>
  </w:num>
  <w:num w:numId="10">
    <w:abstractNumId w:val="9"/>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7"/>
    <w:rsid w:val="00015058"/>
    <w:rsid w:val="00032D85"/>
    <w:rsid w:val="000404DB"/>
    <w:rsid w:val="000D770D"/>
    <w:rsid w:val="00175F44"/>
    <w:rsid w:val="001E50F5"/>
    <w:rsid w:val="0026123A"/>
    <w:rsid w:val="00262351"/>
    <w:rsid w:val="002B67A2"/>
    <w:rsid w:val="00326110"/>
    <w:rsid w:val="003A2B11"/>
    <w:rsid w:val="003F61AE"/>
    <w:rsid w:val="004307CF"/>
    <w:rsid w:val="004A2BCD"/>
    <w:rsid w:val="004C5FE1"/>
    <w:rsid w:val="004F5B81"/>
    <w:rsid w:val="00581D7C"/>
    <w:rsid w:val="00587D24"/>
    <w:rsid w:val="00612D99"/>
    <w:rsid w:val="00677479"/>
    <w:rsid w:val="006C4578"/>
    <w:rsid w:val="007110EF"/>
    <w:rsid w:val="00717C7F"/>
    <w:rsid w:val="007271B1"/>
    <w:rsid w:val="0072778E"/>
    <w:rsid w:val="007339A9"/>
    <w:rsid w:val="00772C78"/>
    <w:rsid w:val="007907F0"/>
    <w:rsid w:val="00862903"/>
    <w:rsid w:val="008C694C"/>
    <w:rsid w:val="00902C4D"/>
    <w:rsid w:val="00912EF9"/>
    <w:rsid w:val="00952A36"/>
    <w:rsid w:val="009E0CF2"/>
    <w:rsid w:val="009F2AB7"/>
    <w:rsid w:val="00A8175D"/>
    <w:rsid w:val="00B252A4"/>
    <w:rsid w:val="00BA17D8"/>
    <w:rsid w:val="00C053C7"/>
    <w:rsid w:val="00C945DA"/>
    <w:rsid w:val="00CF0232"/>
    <w:rsid w:val="00D36C18"/>
    <w:rsid w:val="00DD5474"/>
    <w:rsid w:val="00E350F1"/>
    <w:rsid w:val="00E4656A"/>
    <w:rsid w:val="00F076B0"/>
    <w:rsid w:val="00F26EEF"/>
    <w:rsid w:val="00F9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2017-11-10T20:25:00Z</dcterms:created>
  <dcterms:modified xsi:type="dcterms:W3CDTF">2017-11-10T20:25:00Z</dcterms:modified>
</cp:coreProperties>
</file>